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34" w:rsidRDefault="00B277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42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781"/>
        <w:gridCol w:w="2408"/>
        <w:gridCol w:w="4031"/>
      </w:tblGrid>
      <w:tr w:rsidR="00B27734">
        <w:trPr>
          <w:cantSplit/>
          <w:tblHeader/>
        </w:trPr>
        <w:tc>
          <w:tcPr>
            <w:tcW w:w="14220" w:type="dxa"/>
            <w:gridSpan w:val="3"/>
            <w:shd w:val="clear" w:color="auto" w:fill="C5E0B3"/>
          </w:tcPr>
          <w:p w:rsidR="00B27734" w:rsidRDefault="002B59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1º Bachillerato. Matemáticas Aplicadas a las CC SS I</w:t>
            </w:r>
          </w:p>
        </w:tc>
      </w:tr>
      <w:tr w:rsidR="00B27734">
        <w:trPr>
          <w:cantSplit/>
          <w:tblHeader/>
        </w:trPr>
        <w:tc>
          <w:tcPr>
            <w:tcW w:w="7781" w:type="dxa"/>
            <w:shd w:val="clear" w:color="auto" w:fill="C5E0B3"/>
          </w:tcPr>
          <w:p w:rsidR="00B27734" w:rsidRDefault="002B59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CRITERIOS DE EVALUACIÓN</w:t>
            </w:r>
          </w:p>
          <w:p w:rsidR="00B27734" w:rsidRDefault="002B59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Evidencias de aprendizaje</w:t>
            </w:r>
          </w:p>
        </w:tc>
        <w:tc>
          <w:tcPr>
            <w:tcW w:w="2408" w:type="dxa"/>
            <w:shd w:val="clear" w:color="auto" w:fill="C5E0B3"/>
          </w:tcPr>
          <w:p w:rsidR="00B27734" w:rsidRDefault="002B59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CRITERIOS DE CALIFICACIÓN  (%)</w:t>
            </w:r>
          </w:p>
        </w:tc>
        <w:tc>
          <w:tcPr>
            <w:tcW w:w="4031" w:type="dxa"/>
            <w:shd w:val="clear" w:color="auto" w:fill="C5E0B3"/>
          </w:tcPr>
          <w:p w:rsidR="00B27734" w:rsidRDefault="002B59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>INSTRUMENTOS DE EVALUACIÓN ( RESPUESTAS, PROCESOS, PRODUCTOS Y DESEMPEÑOS)</w:t>
            </w:r>
          </w:p>
        </w:tc>
      </w:tr>
      <w:tr w:rsidR="00B27734">
        <w:trPr>
          <w:cantSplit/>
          <w:trHeight w:val="795"/>
          <w:tblHeader/>
        </w:trPr>
        <w:tc>
          <w:tcPr>
            <w:tcW w:w="7781" w:type="dxa"/>
            <w:shd w:val="clear" w:color="auto" w:fill="FFFFFF"/>
          </w:tcPr>
          <w:p w:rsidR="00B27734" w:rsidRDefault="002B594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 xml:space="preserve">1.1. Emplear algunas estrategias y herramientas, incluidas las digitales, en la resolución de problemas de la vida cotidiana y de las ciencias sociales, valorando su eficiencia en cada caso. 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B27734" w:rsidRDefault="002B59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7%</w:t>
            </w:r>
          </w:p>
        </w:tc>
        <w:tc>
          <w:tcPr>
            <w:tcW w:w="4031" w:type="dxa"/>
            <w:shd w:val="clear" w:color="auto" w:fill="FFFFFF"/>
            <w:vAlign w:val="center"/>
          </w:tcPr>
          <w:p w:rsidR="00B27734" w:rsidRDefault="002B59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</w:t>
            </w:r>
          </w:p>
        </w:tc>
      </w:tr>
      <w:tr w:rsidR="00B27734">
        <w:trPr>
          <w:cantSplit/>
          <w:trHeight w:val="801"/>
          <w:tblHeader/>
        </w:trPr>
        <w:tc>
          <w:tcPr>
            <w:tcW w:w="7781" w:type="dxa"/>
            <w:shd w:val="clear" w:color="auto" w:fill="FFFFFF"/>
          </w:tcPr>
          <w:p w:rsidR="00B27734" w:rsidRDefault="00B27734">
            <w:pPr>
              <w:jc w:val="both"/>
            </w:pPr>
          </w:p>
          <w:p w:rsidR="00B27734" w:rsidRDefault="002B5940">
            <w:pPr>
              <w:jc w:val="both"/>
            </w:pPr>
            <w:r>
              <w:t>1.2. Obtener todas las soluciones matemáticas de problemas de la vida cotidiana y de las ciencias sociales, describiendo el procedimiento realizado.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B27734" w:rsidRDefault="002B59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10%</w:t>
            </w:r>
          </w:p>
        </w:tc>
        <w:tc>
          <w:tcPr>
            <w:tcW w:w="4031" w:type="dxa"/>
            <w:shd w:val="clear" w:color="auto" w:fill="FFFFFF"/>
            <w:vAlign w:val="center"/>
          </w:tcPr>
          <w:p w:rsidR="00B27734" w:rsidRDefault="002B59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</w:t>
            </w:r>
          </w:p>
        </w:tc>
      </w:tr>
      <w:tr w:rsidR="00B27734">
        <w:trPr>
          <w:cantSplit/>
          <w:trHeight w:val="690"/>
          <w:tblHeader/>
        </w:trPr>
        <w:tc>
          <w:tcPr>
            <w:tcW w:w="7781" w:type="dxa"/>
            <w:shd w:val="clear" w:color="auto" w:fill="FFFFFF"/>
          </w:tcPr>
          <w:p w:rsidR="00B27734" w:rsidRDefault="002B5940">
            <w:pPr>
              <w:shd w:val="clear" w:color="auto" w:fill="FFFFFF"/>
              <w:spacing w:after="360"/>
              <w:jc w:val="both"/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</w:pPr>
            <w:r>
              <w:t xml:space="preserve">2.1. Comprobar la validez matemática de las posibles soluciones de un problema, utilizando el razonamiento y la argumentación. 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B27734" w:rsidRDefault="002B59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10%</w:t>
            </w:r>
          </w:p>
        </w:tc>
        <w:tc>
          <w:tcPr>
            <w:tcW w:w="4031" w:type="dxa"/>
            <w:shd w:val="clear" w:color="auto" w:fill="FFFFFF"/>
            <w:vAlign w:val="center"/>
          </w:tcPr>
          <w:p w:rsidR="00B27734" w:rsidRDefault="002B59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</w:t>
            </w:r>
          </w:p>
        </w:tc>
      </w:tr>
      <w:tr w:rsidR="00B27734">
        <w:trPr>
          <w:cantSplit/>
          <w:trHeight w:val="1034"/>
          <w:tblHeader/>
        </w:trPr>
        <w:tc>
          <w:tcPr>
            <w:tcW w:w="7781" w:type="dxa"/>
            <w:shd w:val="clear" w:color="auto" w:fill="FFFFFF"/>
          </w:tcPr>
          <w:p w:rsidR="00B27734" w:rsidRDefault="002B5940">
            <w:pPr>
              <w:shd w:val="clear" w:color="auto" w:fill="FFFFFF"/>
              <w:spacing w:after="360"/>
              <w:jc w:val="both"/>
            </w:pPr>
            <w:r>
              <w:t>2.2. Seleccionar la solución más adecuada de un problema en función del contexto (de sostenibilidad, de consumo responsable, equidad), usando el razonamiento y la argumentación.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B27734" w:rsidRDefault="002B59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10%</w:t>
            </w:r>
          </w:p>
        </w:tc>
        <w:tc>
          <w:tcPr>
            <w:tcW w:w="4031" w:type="dxa"/>
            <w:shd w:val="clear" w:color="auto" w:fill="FFFFFF"/>
            <w:vAlign w:val="center"/>
          </w:tcPr>
          <w:p w:rsidR="00B27734" w:rsidRDefault="002B59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</w:t>
            </w:r>
          </w:p>
        </w:tc>
      </w:tr>
      <w:tr w:rsidR="00B27734">
        <w:trPr>
          <w:cantSplit/>
          <w:trHeight w:val="858"/>
          <w:tblHeader/>
        </w:trPr>
        <w:tc>
          <w:tcPr>
            <w:tcW w:w="7781" w:type="dxa"/>
            <w:shd w:val="clear" w:color="auto" w:fill="FFFFFF"/>
          </w:tcPr>
          <w:p w:rsidR="00B27734" w:rsidRDefault="002B5940">
            <w:pPr>
              <w:shd w:val="clear" w:color="auto" w:fill="FFFFFF"/>
              <w:spacing w:after="360"/>
              <w:jc w:val="both"/>
            </w:pPr>
            <w:r>
              <w:t xml:space="preserve">3.1. Adquirir nuevo conocimiento matemático mediante la formulación de conjeturas y problemas de forma guiada. </w:t>
            </w:r>
          </w:p>
          <w:p w:rsidR="00B27734" w:rsidRDefault="00B27734">
            <w:pPr>
              <w:shd w:val="clear" w:color="auto" w:fill="FFFFFF"/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FFFFFF"/>
            <w:vAlign w:val="center"/>
          </w:tcPr>
          <w:p w:rsidR="00B27734" w:rsidRDefault="002B59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2%</w:t>
            </w:r>
          </w:p>
        </w:tc>
        <w:tc>
          <w:tcPr>
            <w:tcW w:w="4031" w:type="dxa"/>
            <w:shd w:val="clear" w:color="auto" w:fill="FFFFFF"/>
            <w:vAlign w:val="center"/>
          </w:tcPr>
          <w:p w:rsidR="00B27734" w:rsidRDefault="002B59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Observación sistemática de clase</w:t>
            </w:r>
          </w:p>
        </w:tc>
      </w:tr>
      <w:tr w:rsidR="00B27734">
        <w:trPr>
          <w:cantSplit/>
          <w:trHeight w:val="645"/>
          <w:tblHeader/>
        </w:trPr>
        <w:tc>
          <w:tcPr>
            <w:tcW w:w="7781" w:type="dxa"/>
            <w:shd w:val="clear" w:color="auto" w:fill="FFFFFF"/>
          </w:tcPr>
          <w:p w:rsidR="00B27734" w:rsidRDefault="002B5940">
            <w:pPr>
              <w:shd w:val="clear" w:color="auto" w:fill="FFFFFF"/>
              <w:spacing w:after="360"/>
              <w:jc w:val="both"/>
            </w:pPr>
            <w:r>
              <w:t>3.2. Emplear herramientas tecnológicas adecuadas en la formulación o investigación de conjeturas o problemas.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B27734" w:rsidRDefault="002B59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3%</w:t>
            </w:r>
          </w:p>
        </w:tc>
        <w:tc>
          <w:tcPr>
            <w:tcW w:w="4031" w:type="dxa"/>
            <w:shd w:val="clear" w:color="auto" w:fill="FFFFFF"/>
            <w:vAlign w:val="center"/>
          </w:tcPr>
          <w:p w:rsidR="00B27734" w:rsidRDefault="002B59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Proyecto de investigación</w:t>
            </w:r>
          </w:p>
        </w:tc>
      </w:tr>
      <w:tr w:rsidR="00B27734">
        <w:trPr>
          <w:cantSplit/>
          <w:trHeight w:val="1267"/>
          <w:tblHeader/>
        </w:trPr>
        <w:tc>
          <w:tcPr>
            <w:tcW w:w="7781" w:type="dxa"/>
            <w:shd w:val="clear" w:color="auto" w:fill="FFFFFF"/>
          </w:tcPr>
          <w:p w:rsidR="00B27734" w:rsidRDefault="002B5940">
            <w:pPr>
              <w:jc w:val="both"/>
            </w:pPr>
            <w:r>
              <w:lastRenderedPageBreak/>
              <w:t xml:space="preserve">4.1. Interpretar, </w:t>
            </w:r>
            <w:proofErr w:type="spellStart"/>
            <w:r>
              <w:t>modelizar</w:t>
            </w:r>
            <w:proofErr w:type="spellEnd"/>
            <w:r>
              <w:t xml:space="preserve"> y resolver situaciones problematizadas de la vida cotidiana y de las ciencias sociales, utilizando el pensamiento computacional, modificando y creando algoritmos.</w:t>
            </w:r>
          </w:p>
          <w:p w:rsidR="00B27734" w:rsidRDefault="00B27734">
            <w:pPr>
              <w:jc w:val="both"/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</w:pPr>
          </w:p>
        </w:tc>
        <w:tc>
          <w:tcPr>
            <w:tcW w:w="2408" w:type="dxa"/>
            <w:shd w:val="clear" w:color="auto" w:fill="FFFFFF"/>
            <w:vAlign w:val="center"/>
          </w:tcPr>
          <w:p w:rsidR="00B27734" w:rsidRDefault="002B59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7%</w:t>
            </w:r>
          </w:p>
        </w:tc>
        <w:tc>
          <w:tcPr>
            <w:tcW w:w="4031" w:type="dxa"/>
            <w:shd w:val="clear" w:color="auto" w:fill="FFFFFF"/>
            <w:vAlign w:val="center"/>
          </w:tcPr>
          <w:p w:rsidR="00B27734" w:rsidRDefault="002B59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</w:t>
            </w:r>
          </w:p>
        </w:tc>
      </w:tr>
      <w:tr w:rsidR="00B27734">
        <w:trPr>
          <w:cantSplit/>
          <w:trHeight w:val="608"/>
          <w:tblHeader/>
        </w:trPr>
        <w:tc>
          <w:tcPr>
            <w:tcW w:w="7781" w:type="dxa"/>
            <w:shd w:val="clear" w:color="auto" w:fill="FFFFFF"/>
          </w:tcPr>
          <w:p w:rsidR="00B27734" w:rsidRDefault="002B5940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5.1. Manifestar una visión matemática integrada, investigando y conectando las diferentes ideas matemáticas. 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B27734" w:rsidRDefault="002B59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7%</w:t>
            </w:r>
          </w:p>
        </w:tc>
        <w:tc>
          <w:tcPr>
            <w:tcW w:w="4031" w:type="dxa"/>
            <w:shd w:val="clear" w:color="auto" w:fill="FFFFFF"/>
            <w:vAlign w:val="center"/>
          </w:tcPr>
          <w:p w:rsidR="00B27734" w:rsidRDefault="002B59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</w:t>
            </w:r>
          </w:p>
        </w:tc>
      </w:tr>
      <w:tr w:rsidR="00B27734">
        <w:trPr>
          <w:cantSplit/>
          <w:trHeight w:val="885"/>
          <w:tblHeader/>
        </w:trPr>
        <w:tc>
          <w:tcPr>
            <w:tcW w:w="7781" w:type="dxa"/>
            <w:shd w:val="clear" w:color="auto" w:fill="FFFFFF"/>
          </w:tcPr>
          <w:p w:rsidR="00B27734" w:rsidRDefault="002B5940">
            <w:pPr>
              <w:spacing w:after="360"/>
            </w:pPr>
            <w:r>
              <w:t>5.2. Resolver problemas estableciendo y aplicando conexiones entre las diferentes ideas matemáticas.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B27734" w:rsidRDefault="002B59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10%</w:t>
            </w:r>
          </w:p>
        </w:tc>
        <w:tc>
          <w:tcPr>
            <w:tcW w:w="4031" w:type="dxa"/>
            <w:shd w:val="clear" w:color="auto" w:fill="FFFFFF"/>
            <w:vAlign w:val="center"/>
          </w:tcPr>
          <w:p w:rsidR="00B27734" w:rsidRDefault="002B59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</w:t>
            </w:r>
          </w:p>
        </w:tc>
      </w:tr>
      <w:tr w:rsidR="00B27734">
        <w:trPr>
          <w:cantSplit/>
          <w:trHeight w:val="905"/>
          <w:tblHeader/>
        </w:trPr>
        <w:tc>
          <w:tcPr>
            <w:tcW w:w="7781" w:type="dxa"/>
            <w:shd w:val="clear" w:color="auto" w:fill="FFFFFF"/>
          </w:tcPr>
          <w:p w:rsidR="00B27734" w:rsidRDefault="002B5940">
            <w:pPr>
              <w:shd w:val="clear" w:color="auto" w:fill="FFFFFF"/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6.1. Resolver problemas en situaciones diversas, utilizando procesos matemáticos, estableciendo y aplicando conexiones entre el mundo real, otras áreas de conocimiento y las matemáticas. 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B27734" w:rsidRDefault="002B59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7%</w:t>
            </w:r>
          </w:p>
        </w:tc>
        <w:tc>
          <w:tcPr>
            <w:tcW w:w="4031" w:type="dxa"/>
            <w:shd w:val="clear" w:color="auto" w:fill="FFFFFF"/>
            <w:vAlign w:val="center"/>
          </w:tcPr>
          <w:p w:rsidR="00B27734" w:rsidRDefault="002B59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</w:t>
            </w:r>
          </w:p>
        </w:tc>
      </w:tr>
      <w:tr w:rsidR="00B27734">
        <w:trPr>
          <w:cantSplit/>
          <w:trHeight w:val="1084"/>
          <w:tblHeader/>
        </w:trPr>
        <w:tc>
          <w:tcPr>
            <w:tcW w:w="7781" w:type="dxa"/>
            <w:shd w:val="clear" w:color="auto" w:fill="FFFFFF"/>
          </w:tcPr>
          <w:p w:rsidR="00B27734" w:rsidRDefault="002B5940">
            <w:pPr>
              <w:shd w:val="clear" w:color="auto" w:fill="FFFFFF"/>
              <w:spacing w:after="360"/>
              <w:jc w:val="both"/>
            </w:pPr>
            <w:r>
              <w:t>6.2. Analizar la aportación de las matemáticas al progreso de la humanidad reflexionando sobre su contribución en la propuesta de soluciones a situaciones complejas y a los retos que se plantean en las ciencias sociales.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B27734" w:rsidRDefault="002B59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2%</w:t>
            </w:r>
          </w:p>
        </w:tc>
        <w:tc>
          <w:tcPr>
            <w:tcW w:w="4031" w:type="dxa"/>
            <w:shd w:val="clear" w:color="auto" w:fill="FFFFFF"/>
            <w:vAlign w:val="center"/>
          </w:tcPr>
          <w:p w:rsidR="00B27734" w:rsidRDefault="002B59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Proyecto de investigación</w:t>
            </w:r>
          </w:p>
        </w:tc>
      </w:tr>
      <w:tr w:rsidR="00B27734">
        <w:trPr>
          <w:cantSplit/>
          <w:trHeight w:val="619"/>
          <w:tblHeader/>
        </w:trPr>
        <w:tc>
          <w:tcPr>
            <w:tcW w:w="7781" w:type="dxa"/>
            <w:shd w:val="clear" w:color="auto" w:fill="FFFFFF"/>
          </w:tcPr>
          <w:p w:rsidR="00B27734" w:rsidRDefault="002B5940">
            <w:pPr>
              <w:shd w:val="clear" w:color="auto" w:fill="FFFFFF"/>
              <w:spacing w:after="360"/>
              <w:jc w:val="both"/>
            </w:pPr>
            <w:r>
              <w:t xml:space="preserve">7.1. Representar ideas matemáticas, estructurando diferentes razonamientos matemáticos y seleccionando las tecnologías más adecuadas. </w:t>
            </w:r>
          </w:p>
          <w:p w:rsidR="00B27734" w:rsidRDefault="00B27734">
            <w:pPr>
              <w:shd w:val="clear" w:color="auto" w:fill="FFFFFF"/>
              <w:spacing w:after="360"/>
              <w:jc w:val="both"/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</w:pPr>
          </w:p>
        </w:tc>
        <w:tc>
          <w:tcPr>
            <w:tcW w:w="2408" w:type="dxa"/>
            <w:shd w:val="clear" w:color="auto" w:fill="FFFFFF"/>
            <w:vAlign w:val="center"/>
          </w:tcPr>
          <w:p w:rsidR="00B27734" w:rsidRDefault="002B59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7%</w:t>
            </w:r>
          </w:p>
        </w:tc>
        <w:tc>
          <w:tcPr>
            <w:tcW w:w="4031" w:type="dxa"/>
            <w:shd w:val="clear" w:color="auto" w:fill="FFFFFF"/>
            <w:vAlign w:val="center"/>
          </w:tcPr>
          <w:p w:rsidR="00B27734" w:rsidRDefault="002B59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</w:t>
            </w:r>
          </w:p>
        </w:tc>
      </w:tr>
      <w:tr w:rsidR="00B27734">
        <w:trPr>
          <w:cantSplit/>
          <w:trHeight w:val="571"/>
          <w:tblHeader/>
        </w:trPr>
        <w:tc>
          <w:tcPr>
            <w:tcW w:w="7781" w:type="dxa"/>
            <w:shd w:val="clear" w:color="auto" w:fill="FFFFFF"/>
          </w:tcPr>
          <w:p w:rsidR="00B27734" w:rsidRDefault="002B5940">
            <w:pPr>
              <w:shd w:val="clear" w:color="auto" w:fill="FFFFFF"/>
              <w:spacing w:after="360"/>
              <w:jc w:val="both"/>
            </w:pPr>
            <w:r>
              <w:t>7.2. Seleccionar y utilizar diversas formas de representación, valorando su utilidad para compartir información.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B27734" w:rsidRDefault="002B59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5%</w:t>
            </w:r>
          </w:p>
        </w:tc>
        <w:tc>
          <w:tcPr>
            <w:tcW w:w="4031" w:type="dxa"/>
            <w:shd w:val="clear" w:color="auto" w:fill="FFFFFF"/>
            <w:vAlign w:val="center"/>
          </w:tcPr>
          <w:p w:rsidR="00B27734" w:rsidRDefault="002B59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</w:t>
            </w:r>
          </w:p>
        </w:tc>
      </w:tr>
      <w:tr w:rsidR="00B27734">
        <w:trPr>
          <w:cantSplit/>
          <w:trHeight w:val="690"/>
          <w:tblHeader/>
        </w:trPr>
        <w:tc>
          <w:tcPr>
            <w:tcW w:w="7781" w:type="dxa"/>
            <w:shd w:val="clear" w:color="auto" w:fill="FFFFFF"/>
          </w:tcPr>
          <w:p w:rsidR="00B27734" w:rsidRDefault="002B5940">
            <w:pPr>
              <w:shd w:val="clear" w:color="auto" w:fill="FFFFFF"/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8.1. Mostrar organización al comunicar las ideas matemáticas, empleando el soporte, la terminología y el rigor apropiados. 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B27734" w:rsidRDefault="002B59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5%</w:t>
            </w:r>
          </w:p>
        </w:tc>
        <w:tc>
          <w:tcPr>
            <w:tcW w:w="4031" w:type="dxa"/>
            <w:shd w:val="clear" w:color="auto" w:fill="FFFFFF"/>
            <w:vAlign w:val="center"/>
          </w:tcPr>
          <w:p w:rsidR="00B27734" w:rsidRDefault="002B59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</w:t>
            </w:r>
          </w:p>
        </w:tc>
      </w:tr>
      <w:tr w:rsidR="00B27734">
        <w:trPr>
          <w:cantSplit/>
          <w:trHeight w:val="1260"/>
          <w:tblHeader/>
        </w:trPr>
        <w:tc>
          <w:tcPr>
            <w:tcW w:w="7781" w:type="dxa"/>
            <w:shd w:val="clear" w:color="auto" w:fill="FFFFFF"/>
          </w:tcPr>
          <w:p w:rsidR="00B27734" w:rsidRDefault="002B5940">
            <w:pPr>
              <w:shd w:val="clear" w:color="auto" w:fill="FFFFFF"/>
              <w:spacing w:after="360"/>
              <w:jc w:val="both"/>
            </w:pPr>
            <w:r>
              <w:t>8.2. Reconocer y emplear el lenguaje matemático en diferentes contextos, comunicando la información con precisión y rigor.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B27734" w:rsidRDefault="002B59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5%</w:t>
            </w:r>
          </w:p>
        </w:tc>
        <w:tc>
          <w:tcPr>
            <w:tcW w:w="4031" w:type="dxa"/>
            <w:shd w:val="clear" w:color="auto" w:fill="FFFFFF"/>
            <w:vAlign w:val="center"/>
          </w:tcPr>
          <w:p w:rsidR="00B27734" w:rsidRDefault="002B59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</w:t>
            </w:r>
          </w:p>
        </w:tc>
      </w:tr>
      <w:tr w:rsidR="00B27734">
        <w:trPr>
          <w:cantSplit/>
          <w:trHeight w:val="1035"/>
          <w:tblHeader/>
        </w:trPr>
        <w:tc>
          <w:tcPr>
            <w:tcW w:w="7781" w:type="dxa"/>
            <w:shd w:val="clear" w:color="auto" w:fill="FFFFFF"/>
          </w:tcPr>
          <w:p w:rsidR="00B27734" w:rsidRDefault="002B5940">
            <w:pPr>
              <w:spacing w:after="360"/>
            </w:pPr>
            <w:r>
              <w:t xml:space="preserve">9.1. Afrontar las situaciones de incertidumbre, identificando y gestionando emociones y aceptando y aprendiendo del error como parte del proceso de aprendizaje de las matemáticas. 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B27734" w:rsidRDefault="002B59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1%</w:t>
            </w:r>
          </w:p>
        </w:tc>
        <w:tc>
          <w:tcPr>
            <w:tcW w:w="4031" w:type="dxa"/>
            <w:shd w:val="clear" w:color="auto" w:fill="FFFFFF"/>
            <w:vAlign w:val="center"/>
          </w:tcPr>
          <w:p w:rsidR="00B27734" w:rsidRDefault="002B59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Observación sistemática de clase</w:t>
            </w:r>
          </w:p>
        </w:tc>
      </w:tr>
      <w:tr w:rsidR="00B27734">
        <w:trPr>
          <w:cantSplit/>
          <w:trHeight w:val="1089"/>
          <w:tblHeader/>
        </w:trPr>
        <w:tc>
          <w:tcPr>
            <w:tcW w:w="7781" w:type="dxa"/>
            <w:shd w:val="clear" w:color="auto" w:fill="FFFFFF"/>
          </w:tcPr>
          <w:p w:rsidR="00B27734" w:rsidRDefault="002B5940">
            <w:pPr>
              <w:spacing w:after="360"/>
            </w:pPr>
            <w:r>
              <w:t>9.2. Mostrar una actitud positiva y perseverante, aceptando y aprendiendo de la crítica razonada al hacer frente a las diferentes situaciones de aprendizaje de las matemáticas.</w:t>
            </w:r>
          </w:p>
          <w:p w:rsidR="00B27734" w:rsidRDefault="00B27734">
            <w:pPr>
              <w:spacing w:after="360"/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</w:pPr>
          </w:p>
        </w:tc>
        <w:tc>
          <w:tcPr>
            <w:tcW w:w="2408" w:type="dxa"/>
            <w:shd w:val="clear" w:color="auto" w:fill="FFFFFF"/>
            <w:vAlign w:val="center"/>
          </w:tcPr>
          <w:p w:rsidR="00B27734" w:rsidRDefault="002B59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1%</w:t>
            </w:r>
          </w:p>
        </w:tc>
        <w:tc>
          <w:tcPr>
            <w:tcW w:w="4031" w:type="dxa"/>
            <w:shd w:val="clear" w:color="auto" w:fill="FFFFFF"/>
            <w:vAlign w:val="center"/>
          </w:tcPr>
          <w:p w:rsidR="00B27734" w:rsidRDefault="002B59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Observación sistemática de clase</w:t>
            </w:r>
          </w:p>
        </w:tc>
      </w:tr>
      <w:tr w:rsidR="00B27734">
        <w:trPr>
          <w:cantSplit/>
          <w:trHeight w:val="1665"/>
          <w:tblHeader/>
        </w:trPr>
        <w:tc>
          <w:tcPr>
            <w:tcW w:w="7781" w:type="dxa"/>
            <w:shd w:val="clear" w:color="auto" w:fill="FFFFFF"/>
          </w:tcPr>
          <w:p w:rsidR="00B27734" w:rsidRDefault="002B5940">
            <w:pPr>
              <w:spacing w:after="360"/>
            </w:pPr>
            <w:r>
              <w:t>9.3. Participar en tareas matemáticas de forma activa en grupos heterogéneos, respetando las emociones y experiencias del resto de las personas, escuchando su razonamiento, identificando las habilidades sociales más propicias y fomentando el bienestar grup</w:t>
            </w:r>
            <w:r>
              <w:t>al y las relaciones saludables.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B27734" w:rsidRDefault="002B59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1%</w:t>
            </w:r>
          </w:p>
        </w:tc>
        <w:tc>
          <w:tcPr>
            <w:tcW w:w="4031" w:type="dxa"/>
            <w:shd w:val="clear" w:color="auto" w:fill="FFFFFF"/>
            <w:vAlign w:val="center"/>
          </w:tcPr>
          <w:p w:rsidR="00B27734" w:rsidRDefault="002B59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Observación sistemática de clase</w:t>
            </w:r>
          </w:p>
        </w:tc>
      </w:tr>
    </w:tbl>
    <w:p w:rsidR="00B27734" w:rsidRDefault="00B27734">
      <w:pPr>
        <w:rPr>
          <w:rFonts w:ascii="Times New Roman" w:eastAsia="Times New Roman" w:hAnsi="Times New Roman" w:cs="Times New Roman"/>
          <w:u w:val="single"/>
        </w:rPr>
      </w:pPr>
    </w:p>
    <w:p w:rsidR="00B27734" w:rsidRDefault="00B27734">
      <w:pPr>
        <w:rPr>
          <w:rFonts w:ascii="Times New Roman" w:eastAsia="Times New Roman" w:hAnsi="Times New Roman" w:cs="Times New Roman"/>
          <w:u w:val="single"/>
        </w:rPr>
      </w:pPr>
    </w:p>
    <w:p w:rsidR="00B27734" w:rsidRDefault="00B27734">
      <w:pPr>
        <w:rPr>
          <w:rFonts w:ascii="Times New Roman" w:eastAsia="Times New Roman" w:hAnsi="Times New Roman" w:cs="Times New Roman"/>
          <w:u w:val="single"/>
        </w:rPr>
      </w:pPr>
    </w:p>
    <w:p w:rsidR="00B27734" w:rsidRDefault="002B5940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Aclaración de los instrumentos:</w:t>
      </w:r>
    </w:p>
    <w:p w:rsidR="00B27734" w:rsidRDefault="002B594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La observación sistemática del aula incluirá los siguientes </w:t>
      </w:r>
      <w:proofErr w:type="spellStart"/>
      <w:r>
        <w:rPr>
          <w:rFonts w:ascii="Times New Roman" w:eastAsia="Times New Roman" w:hAnsi="Times New Roman" w:cs="Times New Roman"/>
        </w:rPr>
        <w:t>subinstrumentos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B27734" w:rsidRDefault="002B5940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Cuaderno del alumno.</w:t>
      </w:r>
    </w:p>
    <w:p w:rsidR="00B27734" w:rsidRDefault="002B5940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Deberes para casa.</w:t>
      </w:r>
    </w:p>
    <w:p w:rsidR="00B27734" w:rsidRDefault="002B5940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Preguntas orales en clase.</w:t>
      </w:r>
    </w:p>
    <w:p w:rsidR="00B27734" w:rsidRDefault="002B5940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Realización de ejercicios en clase, tanto en la pizarra como en la libreta.</w:t>
      </w:r>
    </w:p>
    <w:p w:rsidR="00B27734" w:rsidRDefault="002B594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2B5940">
        <w:rPr>
          <w:rFonts w:ascii="Times New Roman" w:eastAsia="Times New Roman" w:hAnsi="Times New Roman" w:cs="Times New Roman"/>
        </w:rPr>
        <w:t>Tareas específicas: trabajos, resúmenes, esquemas, realización de ejercicios, etc.</w:t>
      </w:r>
    </w:p>
    <w:sectPr w:rsidR="00B27734" w:rsidSect="00B27734">
      <w:pgSz w:w="16838" w:h="11906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00E8"/>
    <w:multiLevelType w:val="multilevel"/>
    <w:tmpl w:val="059800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27734"/>
    <w:rsid w:val="002B5940"/>
    <w:rsid w:val="00B2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D09"/>
  </w:style>
  <w:style w:type="paragraph" w:styleId="Ttulo1">
    <w:name w:val="heading 1"/>
    <w:basedOn w:val="normal0"/>
    <w:next w:val="normal0"/>
    <w:rsid w:val="00B2773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2F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0"/>
    <w:next w:val="normal0"/>
    <w:rsid w:val="00B277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B277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B2773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B2773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B27734"/>
  </w:style>
  <w:style w:type="table" w:customStyle="1" w:styleId="TableNormal">
    <w:name w:val="Table Normal"/>
    <w:rsid w:val="00B277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27734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366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rafo2">
    <w:name w:val="parrafo_2"/>
    <w:basedOn w:val="Normal"/>
    <w:rsid w:val="001B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B2FFC"/>
    <w:rPr>
      <w:b/>
      <w:bCs/>
    </w:rPr>
  </w:style>
  <w:style w:type="paragraph" w:customStyle="1" w:styleId="parrafo">
    <w:name w:val="parrafo"/>
    <w:basedOn w:val="Normal"/>
    <w:rsid w:val="001B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1B2F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B2FF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64E9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B4B1E"/>
    <w:pPr>
      <w:ind w:left="720"/>
      <w:contextualSpacing/>
    </w:pPr>
  </w:style>
  <w:style w:type="paragraph" w:styleId="Subttulo">
    <w:name w:val="Subtitle"/>
    <w:basedOn w:val="Normal"/>
    <w:next w:val="Normal"/>
    <w:rsid w:val="00B277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2773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B2773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CChIzH37tfzerCdINIWYEwwgPA==">AMUW2mXssGyl78rqJOySN8fndzYvefkJ0Bf/pFTgvUc1pJg0d6uKJWArEcDaXjdsdceBtJ9rRrxYqoaPJhe0xVT4xh8lzllCpsTS/oYJlAnV0SEKRgdFLmK6p051CTFI1Lu7QXRWo3Ds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587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LUIS DIAZ SIRGO</dc:creator>
  <cp:lastModifiedBy>Propietario</cp:lastModifiedBy>
  <cp:revision>2</cp:revision>
  <dcterms:created xsi:type="dcterms:W3CDTF">2022-11-21T08:22:00Z</dcterms:created>
  <dcterms:modified xsi:type="dcterms:W3CDTF">2022-12-01T12:32:00Z</dcterms:modified>
</cp:coreProperties>
</file>